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12" w:rsidRDefault="009F3412" w:rsidP="009F3412">
      <w:pPr>
        <w:tabs>
          <w:tab w:val="left" w:pos="10800"/>
        </w:tabs>
        <w:jc w:val="center"/>
        <w:rPr>
          <w:rFonts w:eastAsiaTheme="minorEastAsia" w:cs="Times New Roman"/>
          <w:bCs/>
          <w:sz w:val="32"/>
          <w:szCs w:val="30"/>
          <w:lang w:eastAsia="ru-RU"/>
        </w:rPr>
      </w:pPr>
      <w:r>
        <w:rPr>
          <w:rFonts w:eastAsiaTheme="minorEastAsia" w:cs="Times New Roman"/>
          <w:bCs/>
          <w:sz w:val="32"/>
          <w:szCs w:val="30"/>
          <w:lang w:eastAsia="ru-RU"/>
        </w:rPr>
        <w:t xml:space="preserve">ГОУ ВО ЛНР ЛУГАНСКИЙ ГОСУДАРСТВЕННЫЙ </w:t>
      </w:r>
    </w:p>
    <w:p w:rsidR="009F3412" w:rsidRDefault="009F3412" w:rsidP="009F3412">
      <w:pPr>
        <w:tabs>
          <w:tab w:val="left" w:pos="108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2"/>
          <w:szCs w:val="30"/>
          <w:lang w:eastAsia="ru-RU"/>
        </w:rPr>
      </w:pPr>
      <w:r>
        <w:rPr>
          <w:rFonts w:eastAsiaTheme="minorEastAsia" w:cs="Times New Roman"/>
          <w:bCs/>
          <w:sz w:val="32"/>
          <w:szCs w:val="30"/>
          <w:lang w:eastAsia="ru-RU"/>
        </w:rPr>
        <w:t>АГРАРНЫЙ УНИВЕРСИТЕТ</w:t>
      </w:r>
    </w:p>
    <w:p w:rsidR="009F3412" w:rsidRDefault="009F3412" w:rsidP="009F3412">
      <w:pPr>
        <w:tabs>
          <w:tab w:val="left" w:pos="108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8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  <w:r>
        <w:rPr>
          <w:rFonts w:eastAsiaTheme="minorEastAsia" w:cs="Times New Roman"/>
          <w:bCs/>
          <w:sz w:val="36"/>
          <w:szCs w:val="32"/>
          <w:lang w:eastAsia="ru-RU"/>
        </w:rPr>
        <w:t>БИБЛИОТЕКА</w:t>
      </w: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/>
          <w:bCs/>
          <w:sz w:val="44"/>
          <w:szCs w:val="32"/>
          <w:lang w:eastAsia="ru-RU"/>
        </w:rPr>
      </w:pPr>
      <w:r>
        <w:rPr>
          <w:rFonts w:eastAsiaTheme="minorEastAsia" w:cs="Times New Roman"/>
          <w:b/>
          <w:bCs/>
          <w:sz w:val="44"/>
          <w:szCs w:val="32"/>
          <w:lang w:eastAsia="ru-RU"/>
        </w:rPr>
        <w:t>УКАЗАТЕЛЬ НОВЫХ ПОСТУПЛЕНИЙ</w:t>
      </w:r>
    </w:p>
    <w:p w:rsidR="009F3412" w:rsidRDefault="009F3412" w:rsidP="009F3412">
      <w:pPr>
        <w:ind w:firstLine="0"/>
        <w:jc w:val="center"/>
        <w:rPr>
          <w:sz w:val="48"/>
          <w:lang w:val="uk-UA"/>
        </w:rPr>
      </w:pPr>
      <w:r>
        <w:rPr>
          <w:sz w:val="48"/>
        </w:rPr>
        <w:t xml:space="preserve">Литература из </w:t>
      </w:r>
    </w:p>
    <w:p w:rsidR="009F3412" w:rsidRDefault="009F3412" w:rsidP="009F3412">
      <w:pPr>
        <w:ind w:firstLine="0"/>
        <w:jc w:val="center"/>
        <w:rPr>
          <w:sz w:val="48"/>
        </w:rPr>
      </w:pPr>
      <w:r>
        <w:rPr>
          <w:sz w:val="48"/>
        </w:rPr>
        <w:t>ФГБОУ ВО Санкт-Петербургский государственный архитектурно-строительный университет</w:t>
      </w:r>
    </w:p>
    <w:p w:rsidR="009F3412" w:rsidRDefault="009F3412" w:rsidP="009F3412">
      <w:pPr>
        <w:ind w:firstLine="0"/>
        <w:jc w:val="center"/>
        <w:rPr>
          <w:sz w:val="48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val="uk-UA"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</w:p>
    <w:p w:rsidR="009F3412" w:rsidRDefault="009F3412" w:rsidP="009F3412">
      <w:pPr>
        <w:tabs>
          <w:tab w:val="left" w:pos="1020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 w:cs="Times New Roman"/>
          <w:bCs/>
          <w:sz w:val="36"/>
          <w:szCs w:val="32"/>
          <w:lang w:eastAsia="ru-RU"/>
        </w:rPr>
      </w:pPr>
      <w:r>
        <w:rPr>
          <w:rFonts w:eastAsiaTheme="minorEastAsia" w:cs="Times New Roman"/>
          <w:bCs/>
          <w:sz w:val="36"/>
          <w:szCs w:val="32"/>
          <w:lang w:eastAsia="ru-RU"/>
        </w:rPr>
        <w:t>Луганск, 2022</w:t>
      </w:r>
    </w:p>
    <w:p w:rsidR="009F3412" w:rsidRDefault="009F3412" w:rsidP="009F3412">
      <w:pPr>
        <w:rPr>
          <w:sz w:val="36"/>
        </w:rPr>
      </w:pPr>
      <w:r>
        <w:rPr>
          <w:sz w:val="36"/>
        </w:rPr>
        <w:br w:type="page"/>
      </w:r>
    </w:p>
    <w:p w:rsidR="009F3412" w:rsidRDefault="009F3412" w:rsidP="009F3412">
      <w:pPr>
        <w:jc w:val="center"/>
        <w:rPr>
          <w:sz w:val="36"/>
        </w:rPr>
      </w:pPr>
      <w:r>
        <w:rPr>
          <w:sz w:val="36"/>
        </w:rPr>
        <w:lastRenderedPageBreak/>
        <w:t>Литература из ФГБОУ ВО СПбГАСУ</w:t>
      </w:r>
    </w:p>
    <w:p w:rsidR="009F3412" w:rsidRDefault="009F3412" w:rsidP="009F3412">
      <w:pPr>
        <w:jc w:val="center"/>
        <w:rPr>
          <w:sz w:val="20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135"/>
        <w:gridCol w:w="7846"/>
      </w:tblGrid>
      <w:tr w:rsidR="009F3412" w:rsidTr="009F3412">
        <w:trPr>
          <w:trHeight w:val="8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12" w:rsidRDefault="009F3412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12" w:rsidRDefault="009F3412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Шифр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12" w:rsidRDefault="009F3412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Автор, название</w:t>
            </w: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64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Анализ и прогнозирование</w:t>
            </w:r>
            <w:r>
              <w:t xml:space="preserve"> рыночной конъюнктуры : учебник для студентов высших учебных заведений, обучающихся по направлениям подготовки 27.04.05 - "Инноватика" (магистерская программа - Управление инновационной деятельностью в строительстве) и 080200.68 - "Менеджмент" / ред. А. Н. Асаул. - СПб.: АНО ИПЭВ, 2018. - 464 с. - (Экономическое возрождение России)                                                 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Экз. всего: 8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>Аннотация:</w:t>
            </w:r>
            <w:r>
              <w:rPr>
                <w:bCs/>
              </w:rPr>
              <w:t xml:space="preserve"> </w:t>
            </w:r>
            <w:r>
              <w:t>Изложены виды и методы анализа рынка, основные этапы анализа сложившихся рыночных условий, стратегическое видение перспектив развития рынка и последовательность этапов определения перспектив развития структуры прогнозируемого рынка.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64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Анализ эффективности реализации</w:t>
            </w:r>
            <w:r>
              <w:t xml:space="preserve"> научно-технических проектов и программ: учебное пособие для студентов высших учебных заведений, обучающихся по направлению подготовки: 27.04.05 - "Инноватика", программа магистратуры : посвящается 90-летию КазГАСУ / ред. А. Н.  Асаул. - СПб.: АНО ИПЭВ, 2020. - 336 с. - (Экономическое возрождение России)  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Экз. всего:18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методологические основы анализа эффективности реализации научно-технических проектов и программ, предмет, содержание и структура дисциплины "Анализ эффективности реализации научно-технических проектов и программ", концепции и принципы эффективности реализации научно-технических проектов и программ (НТПиП). Описан жизненный цикл проекта. Представлен инструментарий и критерии анализа эффективности реализации НТПиП, а также уделено внимание оценке проектных решений в условиях риска и неопределенности, вторая часть учебного пособия посвящена функциональным аспектам анализа эффективности реализации НТПиП.</w:t>
            </w: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</w:t>
            </w:r>
            <w:r>
              <w:t xml:space="preserve">. Государственное предпринимательство в строительстве (государственный строительный заказ): научное издание/ А. Н. Асаул, В. А. Кощеев. - СПб.: АНО ИПЭВ, 2009. - 301 с. - (Экономическое возрождение России)                                                       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Экз. всего:7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Государственное предпринимательство в строительстве рассматривается как самостоятельная система в контексте становления новой экономики. Маркетинговая концепция государственного предпринимательства представлена не только как концептуальная основа, но и как идеологическая платформа государственного предпринимательства. В книге рассмотрены система управления ГСЗ, построенная на основе целей и задач, сформированных в документах, отражающих перспективы развития региона.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Организация предпринимательской деятельности: учебник для студентов высших учебных заведений, обучающихся по специальности 060800 "Экономика и управление на предприятии (по отраслям)" / А. Н. Асаул. - 3-е изд.. - СПб.: АНО ИПЭВ, 2009. - 335 с.: ил. 29, табл. 6.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 30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Учебник дает системное представление об основах организации предпринимательской деятельностью и способствует формированию инновационного мировоззрения. Последовательно рассматриваются история становления и этапы развития предпринимательства в России, сущность и методы предпринимательской деятельности, среда и типы предпринимательских структур.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Оценка конкурентных позиций субъектов предпринимательской деятельности: монография : посвящается 175-летию СПбГАСУ/ А. Н. Асаул, Х. С. Абаев, Д. А. Гордеев. - СПб.: АНО ИПЭВ, 2007. – 271 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 9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Рассматриваются теоретические вопросы, касающиеся роли и сущности предпринимательства, а также </w:t>
            </w:r>
            <w:r>
              <w:lastRenderedPageBreak/>
              <w:t xml:space="preserve">направления создания благоприятной среды предпринимательской деятельности региональных инвестиционно-строительных комплексов. Освещены основные подходы к оценке итогов деятельности субъектов предпринимательства в строительстве. Сформулирована концепция формирования оценочных систем, конкурентных позиций и темпов развития субъектов предпринимательской деятельности. 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Предпринимательская деятельность в строительном комплексе (экономические проблемы) : монография / А. Н. Асаул. - СПб.: ИСЭП РАН, 1996. - 236 с.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 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монографии рассматриваются результаты исследований и разработок по предпринимательской деятельности в строительном комплексе. дается анализ современного состояния строительного комплекса России. Рассматриваются экономические и правовые основы развития предпринимательства, а также теоретические и методологические основы формирования затрат. Излагаются проблемы эффективного использования методов управления затратами на малых предприятиях строительного комплекса.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Снижение трансакционных затрат в строительстве за счет оптимизации информационного пространства: научное и учебно-методическое справочное пособие/ А. Н. Асаул, С. Н. Иванов. - СПб.: АНО ИПЭВ, 2008. - 301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 9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исследуются теоретические положения и методологические подходы к моделированию информационного взаимодействия участников регионального ИСК. Проведен анализ современных моделей информационного пространства ИСК и раскрыта роль информационной инфраструктуры в эффективном функционировании участников регионального ИСК.</w:t>
            </w:r>
          </w:p>
          <w:p w:rsidR="009F3412" w:rsidRDefault="009F3412">
            <w:pPr>
              <w:ind w:firstLine="0"/>
            </w:pPr>
            <w:r>
              <w:t xml:space="preserve"> </w:t>
            </w: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lastRenderedPageBreak/>
              <w:t>Асаул, А. Н.</w:t>
            </w:r>
            <w:r>
              <w:t xml:space="preserve"> Теория и практика принятия решений по выходу организаций из кризиса: посвящается 175-летию СПбГАСУ : </w:t>
            </w:r>
            <w:r>
              <w:lastRenderedPageBreak/>
              <w:t>научное издание / А. Н. Асаул, И. П. Князь, Ю. В. Коротаева. - СПб.: АНО ИПЭВ, 2007. - 224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представлены теоретические исследования и практические разработки теории принятия управленческих решений с учетом жизненного цикла организации. Особое внимание уделено исследованию возникновения и распознавания кризисов на ранних стадиях кризисного процесса. Представлена методика распознавания скрытой стадии кризиса в организации и ее применение в строительных организациях.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Теория и практика управления и развития имущественных комплексов: посвящается 100-летию ИНЖЭКОНА : монография / А. Н. Асаул, Х. С. Абаев, Ю. А. Молчанов. - СПб.: Гуманистика, 2006. - 240 с.: ил..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 :16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монографии рассматриваются деятельность по владению и управлению и развитию имущественного комплекса, а также сложный состав самого комплекса. Основной задачей управляющей компании является обеспечение рационального использования имущественного комплекса в соответствии с целями собственника с учетом жизненного цикла объектов, входящих в комплекс.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Управление высшим учебным заведением в условиях инновационной экономики : научное и учебно-методическое справочное пособие / А. Н. Асаул, Б. М. Капаров. - СПб.: Гуманистика, 2007. - 280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 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В настоящей книге на основе теории и практического опыта управления, отражающих закономерности развития высших учебных заведений представлены и процессы их перехода в новое качественное состояние "инновационного вуза". Сформирована методология управления высшим учебным заведением на основе инновационного подхода к </w:t>
            </w:r>
            <w:r>
              <w:lastRenderedPageBreak/>
              <w:t>управлению бизнес-процессами вуза, позволяющие осуществить разбиение организации по центрам ответственности, сокращать время принятия решений, повышать мотивацию сотрудников, реализовывать инновационные стратегии.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Управление затратами в строительстве: учебное пособие для студентов высших учебных заведений, обучающихся по специальности 080502 Экономика и управление на предприятии строительства/ А. Н. Асаул, М. К. Старовойтов, Р. А. Фалтинский. - 2-е изд., испр. и доп.. - СПб.: АНО ИПЭВ, 2009. - 329 с.: ил. 68, табл. 72.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 18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основные положения управления затратами. Раскрыта сущность терминов, необходимых для понимания системы управления затратами; показаны ее роль и место в современной экономике России.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А. Н.</w:t>
            </w:r>
            <w:r>
              <w:t xml:space="preserve"> Экономическая программа КЕПС и ее значение для возрождения экономики России и Украины: к 90-летию учреждения КЕПС/ А. Н. Асаул. - СПб.: Редакция журнала "Экономическое возрождение России", 2005. – 56 с.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 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Обобщаются некоторые аспекты деятельности академика В.И. Вернадского и КПСЕ, приводятся документы, свидетельствующие о роли ученого при создании Украинской Академии наук и ряда академических учреждений в России. Кратко освещается направленность разработок СОПС - преемника КЕПСа.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М. А</w:t>
            </w:r>
            <w:r>
              <w:t>. Теория и практика обеспечения устойчивости предпринимательских структур: научное издание / М. А. Асаул, Е. И. Рыбнов. - СПб.: Институт проблем экономического возрождения, 2007. - 116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В книге рассматриваются основы обеспечения устойчивости предпринимательских структур с помощью </w:t>
            </w:r>
            <w:r>
              <w:lastRenderedPageBreak/>
              <w:t xml:space="preserve">менеджмента изменений. На основе теории самоорганизации проиллюстрирована возможность поиска синергетических целей предпринимательской структуры для сохранения ее устойчивости. 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М. А</w:t>
            </w:r>
            <w:r>
              <w:t>. Управление устойчивостью предпринимательских структур: научное издание / М. А. Асаул. - СПб.: Институт проблем экономического возрождения, 2008. - 285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не раскрыты теоретические основы управления устойчивостью предпринимательских структур: понятие устойчивости в современной науке; проблемы функционирования и потери устойчивости предпринимательских структур инвестиционно-строительной сферы; пути сохранения устойчивости предпринимательских структур.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М. А</w:t>
            </w:r>
            <w:r>
              <w:t>. Формирование единого транспортного пространства и общего рынка транспортных услуг в ЕАЭС : монография / М. А. Асаул, А. Е. Мохов. - СПб.: АНО ИПЭВ, 2018. - 250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 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Излагаются ключевые положения транспортной политики Евразийского экономического союза, исследуются направления деятельности по формированию единого транспортного пространства и общего рынка транспортных услуг: интеграция в сфере транспорта, единое транспортное пространство, общий рынок транспортных услуг, транзитный потенциал, инфраструктурное развитие транспортной сферы, интеллектуализация транспортной инфраструктуры, международные транспортные коридоры на евразийском пространстве, геополитический и глобальный экономический проект Евразийский канал.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Н. А</w:t>
            </w:r>
            <w:r>
              <w:t xml:space="preserve">. Институциональное взаимодействие субъектов инвестиционно-строительного комплекса: научное и учебно-методическое справочное пособие / А. Н. Асаул. - СПб.: </w:t>
            </w:r>
            <w:r>
              <w:lastRenderedPageBreak/>
              <w:t>Гуманистика, 2005. - 280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всего:7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рассматриваются современные концепции информационного общества как научной системы взглядов, рассматривающей деятельностью субъектов рынка с позиций присущих им знаний и процесса обмена информацией, то есть с позиций современной экономики знаний. В результате анализа экономической и институциональной составляющей среды деятельности субъектов ИСК выявлена устойчивая тенденция на развитие института саморегулирования как формы институциональных взаимодействий субъектов ИСК.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А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Асаул, Н. А</w:t>
            </w:r>
            <w:r>
              <w:t>. Методологические принципы институцио-нальных взаимодействий субъектов рынка как открытых "живых" систем в концепции информационного общества : научные труды Вольного экономического общества России / Н. А. Асаул. - М.; СПб. : ВЭО России, 2004. - 224 с. - (Вольное экономическое общество России; т. 51)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 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представлены современные концепции информационного общества как научной системы взглядов, рассматривающей деятельностью субъектов рынка с позиций присущих им знаний и процесса обмена информацией. В результате анализа экономической и институциональной составляющей среды деятельность субъектов рынка выявлена устойчивая тенденция на развитие института саморегулирования как формы институциональных взаимодействий субъектов рынка.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24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Введение в инноватику </w:t>
            </w:r>
            <w:r>
              <w:t>: учебное пособие для студентов высших учебных заведений, обучающихся по направлению подготовки "Инноватика" / А. Н. Асаул [и др.]. - СПб. : АНО ИПЭВ, 2010. - 281 с. -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Экз. всего:2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Аннотация: </w:t>
            </w:r>
            <w:r>
              <w:t xml:space="preserve">Дается системное представление об основах организации инновационной деятельности. Излагаются сущность инноватики и процессов инновационной деятельности; вопросы коммерциализации нововведений, </w:t>
            </w:r>
            <w:r>
              <w:lastRenderedPageBreak/>
              <w:t>управление интеллектуальной собственностью, трансфера технологий.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В 65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>Войнаренко, М. П</w:t>
            </w:r>
            <w:r>
              <w:t>. Кластеры в институциональной экономике : монография / М. П. Войнаренко. - СПб. : АНО ИПЭВ, 2013. - 496 с. - (Экономическое возрождение России)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Исследована теория кластеров с позиций институционального развития социально-экономических систем. Проанализирована роль институциональных преобразований в социально-ориентированной экономике и ее влияние на формирование благоприятной институциональной среды.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З-14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Загускин, Н. Н.</w:t>
            </w:r>
            <w:r>
              <w:rPr>
                <w:b/>
                <w:bCs/>
              </w:rPr>
              <w:t xml:space="preserve"> </w:t>
            </w:r>
            <w:r>
              <w:t>Трансформационное развитие субъектов регионального инвестиционно-строительного комплекса на этапе становления саморегулирования : монограф. / Н. Н. Загускин. – СПб. : АНО ИПЭВ, 2015. – 336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Рассмотрены и проанализированы современные проблемы и тенденции развития инвестиционно-строительной сферы, направления трансформационных изменений в региональных ИСК, обусловленные необходимостью формирования и развития актуальных для участников инвестиционно-строительного процесса компетенций в области технического регулирования, политики энергосбережения, экологии и природопользования.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З-19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Закономерности и тенденции</w:t>
            </w:r>
            <w:r>
              <w:t xml:space="preserve"> развития современного предпринимательства: посвящается 175-летию СПбГАСУ : науч. изд. / ред. А. Н.  Асаул. – СПб. : АНО ИПЭВ, 2008. - 280 с. -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В книге обобщены научные представления о направленности развития отечественного предпринимательства, как особой формы хозяйственной деятельности. Значительное внимание уделено организации предпринимательских сетей - особой форме межфирменного </w:t>
            </w:r>
            <w:r>
              <w:lastRenderedPageBreak/>
              <w:t>взаимодействия субъектов предпринимательства. Изложены принципы и методы оценки эффективности предпринимательской деятельности, представлены подходы к построению оценочных систем результатов деятельности предпринимательских структур, особое место занимают основные направления безопасности предпринимательской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 58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Инвестиционный анализ</w:t>
            </w:r>
            <w:r>
              <w:t xml:space="preserve"> : учеб. пособ. для студ., обучающ. по направ. подготовки 080200 "Менеджмент", профиль "Производственный менеджмент" / ред. А. Н.  Асаул. – СПб. : АНО ИПЭВ, 2014. – 288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Учебное пособие раскрывает теоретические основы и практику проведения инвестиционного анализа в условиях рыночной экономики. Изложены базовые теоретические положения современного инвестиционного анализа: основные понятия, цели, задачи, предмет, объекты и субъекты; основные методики разработки инвестиционной стратегии компании и анализа эффективности ее инвестиционной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 59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Козюра, І. В.</w:t>
            </w:r>
            <w:r>
              <w:rPr>
                <w:b/>
                <w:bCs/>
              </w:rPr>
              <w:t xml:space="preserve"> </w:t>
            </w:r>
            <w:r>
              <w:t>Лицар науки. Анатолій Миколайович Асаул: сторінки життєпису: науково-популяр. вид. / І. В. Козюра, В. М. Козюра. – Полтава : АСМІ, 2013. – 68 с.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Книга розповідає про життя і діяльність Анатолія Миколайовича Асаула - уродженця Решетилівки, який здобув високе ім'я і авторитетне визнання в науковому світі, в сферіпрактичної економіки та в громадському житті.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Ю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Культура организации</w:t>
            </w:r>
            <w:r>
              <w:rPr>
                <w:b/>
                <w:bCs/>
              </w:rPr>
              <w:t xml:space="preserve"> -</w:t>
            </w:r>
            <w:r>
              <w:t xml:space="preserve"> ресурс для развития бизнеса : науч. и учебно-метод. спр. пособ. / А. Н. Асаул [и др.]. – СПб. : Гуманистика, 2007. – 216 с.: ил.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В книге авторы рассматривают культуру организации как составную часть тех ресурсов, которые любая </w:t>
            </w:r>
            <w:r>
              <w:lastRenderedPageBreak/>
              <w:t>компания использует для развития бизнеса. Показан отечественный и зарубежный опыт формирование культуры организации. Дан анализ основных направлений рационализации и повышения эффективности бизнес-процессов в предпринимательской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Ю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 90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Культура организации: проблемы</w:t>
            </w:r>
            <w:r>
              <w:t xml:space="preserve"> формирования и управления : науч. изд. / А. Н. Асаул [и др.]. – СПб. : Гуманистика, 2006. – 216 с.: ил.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настоящей книге авторы рассматривают культуру организации как составную часть тех ресурсов, которые любая компания использует для создания стоимости. Показан отечественный и зарубежный опыт формирование культуры организации. Дан анализ основных направлений рационализации и повышения эффективности бизнес-процессов в предпринимательской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Л 94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Люлин, П. Б.</w:t>
            </w:r>
            <w:r>
              <w:rPr>
                <w:b/>
                <w:bCs/>
              </w:rPr>
              <w:t xml:space="preserve"> </w:t>
            </w:r>
            <w:r>
              <w:t>Управление субъектами инвестиционно-строительного комплекса в рамках живой системы: монограф. / П. Б. Люлин. – СПб. : АНО ИПЭВ, 2013. – 240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Даны основы концепции живых систем в экономике, развивающие представление об инвестиционно-строительном комплексе (ИСК), как о сложной системе. Сформулированы принципы функционирование ИСК как живой автопоэзийной системы, обеспечивающие управление устойчивым развитием ИСК и его субъектов. Классифицированы основные взаимодействия, возникающие в процессе функционирования субъектов ИСК, позволяющие эффективно достигать целей организации в сложном многосубъектном окружении.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 55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Механизмы обеспечения инновационного</w:t>
            </w:r>
            <w:r>
              <w:t xml:space="preserve"> развития субъектов предпринимательства : монограф. / ред. А. Н. Асаул. – СПб. : АНО ИПЭВ, 2016. – 400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всего:10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lastRenderedPageBreak/>
              <w:t xml:space="preserve">Аннотация: </w:t>
            </w:r>
            <w:r>
              <w:t>Настоящая книга посвящена развитию механизмов инновационного развития субъектов предпринимательства. Рассматриваются векторы инновационного развития предпринимательского сектора и поиск возможных решений: разработка стратегической составляющей инновационного развития, кластерная организация предпринимательской деятельности, заимствование инноваций и стратегий имитации субъектов предпринимательства; механизмы государственного регулирования и системы оценки эффективности инновационной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 74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Модернизация экономики на</w:t>
            </w:r>
            <w:r>
              <w:t xml:space="preserve"> основе технологических инноваций : науч. изд. / А. Н. Асаул [и др.]. – СПб. : АНО ИПЭВ, 2008. – 607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всего:8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Исследуется феномен инновационно-инновативного развития России. Представлена системно-деятельностная концепция инноваций. Рассмотрены вопросы управления объектами интеллектуальной стоимости, эффективности управленческих решений и организационно-управленческих инноваций, а также вопросы малого инновационного предпринимательства как структурной части малого предпринимательства, представляющего собой самостоятельное экономическое явление.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О-93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Оценка машин, оборудования</w:t>
            </w:r>
            <w:r>
              <w:t xml:space="preserve"> и транспортных средств : учеб. пособ. / ред. А. Н.  Асаул. – СПб. : Гуманистика, 2007. – 296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всего:16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Рассмотрены технико-экономическое содержание, классификация и приемы идентификации машин и оборудования, виды стоимости технических устройств, принципы и технология их оценки. Раскрыто содержание физического, функционального и внешнего износа, и на конкретных примерах показано, как эти виды износа влияют на изменение стоимости машин и оборудования.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О-93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lastRenderedPageBreak/>
              <w:t>Оценка организации (предприятия,</w:t>
            </w:r>
            <w:r>
              <w:t xml:space="preserve"> бизнеса) : учеб. для студ. высш. учеб. заведений, обучающ. по спец. 080502 "Экономика </w:t>
            </w:r>
            <w:r>
              <w:lastRenderedPageBreak/>
              <w:t>и управление на предприятии (по отраслям)" / ред. А. Н.  Асаул. – СПб. : АНО ИПЭВ, 2014. – 476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теоретические, методические и практические основы оценки собственности. Представлены понятийно-терминологический аппарат, используемый в процессе определения стоимости объектов оценки, и основные методические положения оценочной деятельности; даны практические рекомендации по формированию информационно-аналитической базы оценки стоимости объектов; рассмотрены методы оценки стоимости организации, бизнеса и предприятия как имущественного комплекса с позиций затратного, сравнительного и доходного подходов.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О-93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Оценка собственности. Оценка</w:t>
            </w:r>
            <w:r>
              <w:t xml:space="preserve"> машин, оборудования и транспортных средств : учеб. для студ. высш. учеб. заведений, обучающ. по спец. 080502 "Экономика и управление на предприятии отрасли (операции с недвижимым имуществом) / ред. А. Н. Асаул. – СПб. : АНО ИПЭВ, 2011. – 288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всего:14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Подробно рассматриваются особенности развития рынка машин и оборудования; классификация основных производственных фондов, их износ и его влияние на стоимость оцениваемых объектов; информационная обеспеченность и методический инструментарий процесса оценки машин, оборудования и транспортных средств.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О-93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Оценка собственности. Оценка</w:t>
            </w:r>
            <w:r>
              <w:t xml:space="preserve"> нематериальных активов и интеллектуальной собственности : учеб. для студ. высш. учеб. заведений, обучающ. по спец. 080502 Экономика и управление на предприятии отрасли (операции с недвижимым имуществом) и магистров по направ. 080500 Менеджмент / ред. А. Н.  Асаул. – СПб. : АНО ИПЭВ, 2011. – 298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всего:12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В систематизированном виде изложена системно-деятельностная концепция интеллектуальной деятельности. </w:t>
            </w:r>
            <w:r>
              <w:lastRenderedPageBreak/>
              <w:t>Раскрыта субъектно-объектная  сущность инноваций; показаны направления коммерциализации объектов интеллектуальной собственности; приведены правовые основы, регламентирующие право собственности на результаты интеллектуальной деятельности.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О-93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Оценка собственности. Оценка</w:t>
            </w:r>
            <w:r>
              <w:t xml:space="preserve"> объектов недвижимости : учеб. для студ. высш. учеб. заведений, обучающ. по спец. 080502 "Экономика и управление на предприятии отрасли (операции с недвижимым имуществом)" / ред. А. Н.  Асаул. – СПб. : АНО ИПЭВ, 2012. – 472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всего:30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Учебник дает представление о теории и практике оценки объектов недвижимости. В нем рассмотрены теоретические и методические аспекты оценки объектов недвижимости, ее правовое и информационное обеспечение. Приведены основные понятия, применяемые в оценочной деятельности, цели и информационное обеспечение процесса определения стоимости оцениваемых объектов; систематизированы правовые основы оценки объектов недвижимости и раскрыта система регулирования оценочной деятельности в Российской Федерации.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 80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12" w:rsidRDefault="009F3412">
            <w:pPr>
              <w:ind w:firstLine="0"/>
            </w:pPr>
            <w:r>
              <w:rPr>
                <w:bCs/>
              </w:rPr>
              <w:t>Производственно-экономический потенциал и</w:t>
            </w:r>
            <w:r>
              <w:t xml:space="preserve"> деловая активность субъектов предпринимательской деятельности : науч. изд. / ред. А. Н.  Асаул. – СПб. : АНО ИПЭВ, 2011. – 313 с.: табл. 36, ил. 49.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Исследован феномен производственно-экономического потенциала; определены теоретические основы эффективного управления процессом использования потенциала коммерческих организаций и факторы, их ограничивающие; выявлены проблемные вопросы управления производственно-экономическим потенциалом; обоснованы направления повышения эффективности управления потенциалом.</w:t>
            </w: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 17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Самоорганизация, саморазвитие и</w:t>
            </w:r>
            <w:r>
              <w:t xml:space="preserve"> саморегулирование субъектов предпринимательской деятельности в строительстве </w:t>
            </w:r>
            <w:r>
              <w:lastRenderedPageBreak/>
              <w:t>: монограф. / ред. А. Н.  Асаул. – СПб. : АНО ИПЭВ, 2013. – 320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Рассмотрены и проанализированы самоорганизационные процессы в инвестиционно-строительной сфере России. Исследуется феномен регионального инвестиционно-строительного комплекса, выявлены особенности  процесса экономической интеграции в строительстве. На основе теории самоорганизации сложных систем показаны проблемные вопросы и формы организационного упорядочивания субъектов предпринимательства в России. Особое место уделено формированию институтов и механизмов саморегулирования в строительстве.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 58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Создание знания и</w:t>
            </w:r>
            <w:r>
              <w:t xml:space="preserve"> информационной инфраструктуры субъектов предпринимательства : науч. изд. / А. Н. Асаул [и др.]. – СПб. : АНО ИПЭВ, 2010. – 252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всего:14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освещается феномен информации и знания, их роль в деятельности субъектов предпринимательства. Представлены классификации морфологий предпринимательских моделей хозяйствования, позволяющая проводить более подробную организационную диагностику компании; инструментарий создания и управления знаниями; модели информационной инфраструктуры субъекта предпринимательской деятельности и организационно-экономический механизм формирования системы создания и управления организационными знаниями компании.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 33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Теория и практика</w:t>
            </w:r>
            <w:r>
              <w:t xml:space="preserve"> малоэтажного жилищного строительства в России : монограф. / ред. А. Н.  Асаул. – СПб. : Гуманистика, 2005. – 563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 xml:space="preserve">На страницах монографии авторы вместе с читателями изучают сложившиеся условия, проблемы и возможности развития малоэтажного жилищного строительства, в том числе и в сельской местности. На основе </w:t>
            </w:r>
            <w:r>
              <w:lastRenderedPageBreak/>
              <w:t>этого авторы предлагают обоснованные пути развития индивидуального жилищного строительства в сельских поселениях, среди которых реализация моделей развития индивидуального жилищного строительства с использованием залоговых и зачетных отношений, с участием сельскохозяйственных организаций и с целью привлечения квалифицированных кадров в сельскую местность.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 33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Теория и практика</w:t>
            </w:r>
            <w:r>
              <w:t xml:space="preserve"> организации и проведения подрядных торгов в регионе : науч. изд. / ред. А. Н.  Асаул. – СПб. : Гуманистика, 2005. – 240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Исследуется система управления государственным заказом в регионе, выполняющая ряд важнейших функций и способствующая активному взаимодействию между государственными структурами региона и бизнесом. Дана трактовка термина "региональный заказ", сформулированная на основе выявленных основных тенденций развития реализации государственного заказа на основе опыта Санкт-Петербурга, Москвы и других регионов.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 38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Технологическое предпринимательство и</w:t>
            </w:r>
            <w:r>
              <w:t xml:space="preserve"> коммерциализация инноваций в инвестиционно-строительной сфере : матер. Междунар. XX науч. конф. Ч. II / Санкт-Петербургский государственный архитектурно-строительный университет; ред. А. Н.  Асаул. – СПб. : АНО ИПЭВ, 2018. – 314 с.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 38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12" w:rsidRDefault="009F3412">
            <w:pPr>
              <w:ind w:firstLine="0"/>
            </w:pPr>
            <w:r>
              <w:rPr>
                <w:bCs/>
              </w:rPr>
              <w:t>Технологическое предпринимательство и</w:t>
            </w:r>
            <w:r>
              <w:t xml:space="preserve"> коммерциализация инноваций в инвестиционно-строительной сфере : материалы Международной XX научной конференции. Ч. I / Санкт-Петербургский государственный архитектурно-строительный университет; ред. А. Н.  Асаул. – СПб. : АНО ИПЭВ, 2018. – 294 с.</w:t>
            </w:r>
          </w:p>
          <w:p w:rsidR="009F3412" w:rsidRDefault="009F3412">
            <w:pPr>
              <w:ind w:firstLine="0"/>
              <w:jc w:val="right"/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У9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 67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Управление организационными нововведениями</w:t>
            </w:r>
            <w:r>
              <w:t xml:space="preserve"> : учеб. для студ. высш. учеб.  заведений, обучающ. по направ. подготовки: 27.04.05 - "Инноватика", программа магистратуры / ред. А. Н.  </w:t>
            </w:r>
            <w:r>
              <w:lastRenderedPageBreak/>
              <w:t>Асаул. – СПб. : АНО ИПЭВ, 2016. – 288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всего:2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основные положения дисциплины. Раскрыта суть организационных инноваций и организационных изменений, приведен понятийный аппарат организационно-управленческих инноваций и показаны их роль и место в развитии субъектов предпринимательства; рассмотрены типы организационно-управленческих инноваций и приемы их по использованию; принципы и методы управления нововведениями.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 67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Управление предпринимательскими рисками</w:t>
            </w:r>
            <w:r>
              <w:t xml:space="preserve"> инвестиционно-строительного проекта: посвящается 185-летию СПбГАСУ : монограф. / ред. А. Н.  Асаул. – СПб. : АНО ИПЭВ, 2017. – 256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всего:14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основные результаты исследований научной школы в сфере управления предпринимательскими рисками в строительстве, основанные:</w:t>
            </w:r>
          </w:p>
          <w:p w:rsidR="009F3412" w:rsidRDefault="009F3412">
            <w:pPr>
              <w:ind w:firstLine="0"/>
            </w:pPr>
            <w:r>
              <w:t xml:space="preserve"> а) на управленческом реагировании в процессе реализации инвестиционно-строительных объектов;</w:t>
            </w:r>
          </w:p>
          <w:p w:rsidR="009F3412" w:rsidRDefault="009F3412">
            <w:pPr>
              <w:ind w:firstLine="0"/>
            </w:pPr>
            <w:r>
              <w:t xml:space="preserve"> б) на основе проактивной парадигмы путем разработки метода планирования и операционного управления рисками субъектов предпринимательства, осуществляющим инвестиционно-строительную деятельность.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 67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Управление рисками в</w:t>
            </w:r>
            <w:r>
              <w:t xml:space="preserve"> строительстве на основе теории самоорганизации : науч. и учебно-метод. спр. пособ. / В. В. Асаул [и др.]. – СПб. : Институт проблем экономического возрождения, 2007. – 310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В книге на основе теории и практического опыта управления рисками в строительстве представлен новый взгляд на формирование системы риск-менеджмента предприятия на основе теории самоорганизации. Раскрыты естественно-научные основы теории самоорганизации, возможности ее применения в экономических системах современного общества.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Ф 33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Федоров, В. И.</w:t>
            </w:r>
            <w:r>
              <w:t xml:space="preserve"> Жизнь и судьба Анатолия Асаула : научно-популярная литература. Кн. 1: Малая родина / В. И. Федоров. – СПб. : АНО ИПЭВ, 2014. – 256 с. – (Великие Россияне).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О том, как сельскому мальчику, родившемуся в поселке Решетиловка под городом Полтавой, удалось стать выдающимся строителем, ученым и педагогом, которого знают и ценят в мире, рассказывает эта книга. Книга первая "Малая родина" - рассказ о крае, где родился Анатолий Асаул, и людях, повлиявших на формирование его личности.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Ф 33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Федоров, В. И. </w:t>
            </w:r>
            <w:r>
              <w:t>Жизнь и судьба Анатолия Асаула: 210-й годовщине со дня рождения альма-матер - Петербургского государственного университета путей сообщения Императора Александра I посвящается. Кн. 2: Исповедь выпускника ЛИИЖТА / В. И.  Федоров. – СПб. : АНО ИПЭВ, 2020. – 256 с. – (Великие Россияне).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О том, как сельскому мальчику, родившемуся в поселке Решетиловка под городом Полтавой, удалось стать выдающимся строителем, ученым и педагогом, которого знают и ценят в мире, рассказывает эта книга. Книга вторая "Исповедь выпускника ЛИИЖТа" - рассказ о гражданском и профессиональном становлении Анатолия Асаула, о людях, повлиявших на формирование его жизненной позиции.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Ц 37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Ценность результатов научно-исследовательской</w:t>
            </w:r>
            <w:r>
              <w:t xml:space="preserve"> деятельности заключается в отражении объективной потребности отечественной экономики: 20-летию научной школы "Методологические проблемы эффективности региональных ИСК как самоорганизующейся и самоуправляемой системы" посвящается, 7 февраля 2020 г. : региональная XXI научная конференция с международным участием / Санкт-Петербургский государственный архитектурно-строительный университет; ред. А. Н.  Асаул. – СПб. : АНО ИПЭВ, 2020. – 448 с.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lastRenderedPageBreak/>
              <w:t xml:space="preserve">Аннотация: </w:t>
            </w:r>
            <w:r>
              <w:t>Особое внимание уделено формированию качественно новой модели отечественной экономики на основе стратегии опережающего развития РФ.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У2/4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Э 40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 xml:space="preserve">Экономика недвижимости </w:t>
            </w:r>
            <w:r>
              <w:t>: учеб. для студ. высш. учеб. заведений, обучающ. по спец. "Экспертиза и управление недвижимостью" направ. подготовки дипломированных спец. "Строительство" / А. Н. Асаул [и др.]. - 4-е изд., испр. – СПб. : АНО ИПЭВ, 2014. – 432 с. –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Экз. всего:1 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Изложены основные положения экономики недвижимости. Раскрыта сущность терминов, необходимых для понимания объектов недвижимости; показаны роль и место рынка недвижимости в современной экономике России; рассмотрены основы государственного регулирования рынка недвижимости; представлены все основные схемы инвестирования и финансирования объектов недвижимости.</w:t>
            </w:r>
          </w:p>
          <w:p w:rsidR="009F3412" w:rsidRDefault="009F3412">
            <w:pPr>
              <w:ind w:firstLine="0"/>
            </w:pPr>
          </w:p>
        </w:tc>
      </w:tr>
      <w:tr w:rsidR="009F3412" w:rsidTr="009F341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 w:rsidP="00012713">
            <w:pPr>
              <w:pStyle w:val="a3"/>
              <w:numPr>
                <w:ilvl w:val="0"/>
                <w:numId w:val="1"/>
              </w:numPr>
              <w:ind w:left="124" w:hanging="21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  <w:p w:rsidR="009F3412" w:rsidRDefault="009F341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Э 91</w:t>
            </w:r>
          </w:p>
          <w:p w:rsidR="009F3412" w:rsidRDefault="009F3412">
            <w:pPr>
              <w:ind w:firstLine="0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2" w:rsidRDefault="009F3412">
            <w:pPr>
              <w:ind w:firstLine="0"/>
            </w:pPr>
            <w:r>
              <w:rPr>
                <w:bCs/>
              </w:rPr>
              <w:t>Этногеографические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факторы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глобализации</w:t>
            </w:r>
            <w:r>
              <w:t xml:space="preserve"> и регионализации мира : науч. изд. / А. Н. Асаул [и др.]. - СПб. : АНО ИПЭВ, 2010. - 304 с. - (Экономическое возрождение России).</w:t>
            </w:r>
          </w:p>
          <w:p w:rsidR="009F3412" w:rsidRDefault="009F3412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Экз. всего: 6</w:t>
            </w:r>
          </w:p>
          <w:p w:rsidR="009F3412" w:rsidRDefault="009F3412">
            <w:pPr>
              <w:ind w:firstLine="0"/>
            </w:pPr>
            <w:r>
              <w:rPr>
                <w:b/>
                <w:bCs/>
              </w:rPr>
              <w:t xml:space="preserve">Аннотация: </w:t>
            </w:r>
            <w:r>
              <w:t>Показано определяющее значение этнографических факторов в развитии региональных и глобальных территориально-политических процессов, которые в обобщенном виде рассмотрены как глобализационные процессы.</w:t>
            </w:r>
          </w:p>
          <w:p w:rsidR="009F3412" w:rsidRDefault="009F3412">
            <w:pPr>
              <w:ind w:firstLine="0"/>
            </w:pPr>
          </w:p>
        </w:tc>
      </w:tr>
    </w:tbl>
    <w:p w:rsidR="009F3412" w:rsidRDefault="009F3412" w:rsidP="009F3412">
      <w:pPr>
        <w:ind w:firstLine="0"/>
      </w:pPr>
    </w:p>
    <w:p w:rsidR="00F12C76" w:rsidRDefault="00F12C76" w:rsidP="006C0B77"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6641"/>
    <w:multiLevelType w:val="hybridMultilevel"/>
    <w:tmpl w:val="2662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C0"/>
    <w:rsid w:val="00011EF8"/>
    <w:rsid w:val="002B1463"/>
    <w:rsid w:val="006C0B77"/>
    <w:rsid w:val="007F5AC0"/>
    <w:rsid w:val="008242FF"/>
    <w:rsid w:val="00870751"/>
    <w:rsid w:val="00922C48"/>
    <w:rsid w:val="009F3412"/>
    <w:rsid w:val="00B915B7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D0A93-08FC-4C38-9BCA-E68CCF1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12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4713</Words>
  <Characters>26866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2022-11-11T12:56:00Z</dcterms:created>
  <dcterms:modified xsi:type="dcterms:W3CDTF">2022-11-11T12:56:00Z</dcterms:modified>
</cp:coreProperties>
</file>